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2D" w:rsidRDefault="00B94A73">
      <w:pPr>
        <w:wordWrap w:val="0"/>
        <w:jc w:val="right"/>
      </w:pPr>
      <w:r>
        <w:t xml:space="preserve">事　</w:t>
      </w:r>
      <w:r>
        <w:rPr>
          <w:rFonts w:hint="eastAsia"/>
        </w:rPr>
        <w:t xml:space="preserve"> </w:t>
      </w:r>
      <w:r>
        <w:t xml:space="preserve"> </w:t>
      </w:r>
      <w:r>
        <w:t>務</w:t>
      </w:r>
      <w:r>
        <w:rPr>
          <w:rFonts w:hint="eastAsia"/>
        </w:rPr>
        <w:t xml:space="preserve">  </w:t>
      </w:r>
      <w:r>
        <w:t xml:space="preserve">　連</w:t>
      </w:r>
      <w:r>
        <w:rPr>
          <w:rFonts w:hint="eastAsia"/>
        </w:rPr>
        <w:t xml:space="preserve"> </w:t>
      </w:r>
      <w:r>
        <w:t xml:space="preserve"> </w:t>
      </w:r>
      <w:r>
        <w:t xml:space="preserve">　絡　</w:t>
      </w:r>
    </w:p>
    <w:p w:rsidR="0019622D" w:rsidRDefault="00B94A73">
      <w:pPr>
        <w:wordWrap w:val="0"/>
        <w:jc w:val="right"/>
      </w:pPr>
      <w:r>
        <w:t>令和</w:t>
      </w:r>
      <w:r>
        <w:rPr>
          <w:rFonts w:hint="eastAsia"/>
        </w:rPr>
        <w:t>５</w:t>
      </w:r>
      <w:r>
        <w:t>年</w:t>
      </w:r>
      <w:r w:rsidR="000434D9">
        <w:rPr>
          <w:rFonts w:hint="eastAsia"/>
        </w:rPr>
        <w:t>８</w:t>
      </w:r>
      <w:r>
        <w:t>月</w:t>
      </w:r>
      <w:r w:rsidR="000434D9">
        <w:rPr>
          <w:rFonts w:hint="eastAsia"/>
        </w:rPr>
        <w:t>３</w:t>
      </w:r>
      <w:r>
        <w:t xml:space="preserve">日　</w:t>
      </w:r>
    </w:p>
    <w:p w:rsidR="0019622D" w:rsidRDefault="0019622D">
      <w:pPr>
        <w:ind w:firstLineChars="100" w:firstLine="210"/>
      </w:pPr>
      <w:bookmarkStart w:id="0" w:name="_GoBack"/>
      <w:bookmarkEnd w:id="0"/>
    </w:p>
    <w:p w:rsidR="0019622D" w:rsidRDefault="00B94A73">
      <w:pPr>
        <w:snapToGrid w:val="0"/>
        <w:ind w:firstLineChars="100" w:firstLine="210"/>
        <w:rPr>
          <w:rFonts w:ascii="ＭＳ 明朝" w:eastAsia="ＭＳ 明朝" w:hAnsi="ＭＳ 明朝" w:cs="Arial Unicode MS"/>
          <w:szCs w:val="21"/>
        </w:rPr>
      </w:pPr>
      <w:r>
        <w:rPr>
          <w:rFonts w:ascii="ＭＳ 明朝" w:eastAsia="ＭＳ 明朝" w:hAnsi="ＭＳ 明朝" w:cs="Arial Unicode MS" w:hint="eastAsia"/>
          <w:szCs w:val="21"/>
        </w:rPr>
        <w:t>各診療所　管理者　殿</w:t>
      </w:r>
    </w:p>
    <w:p w:rsidR="0019622D" w:rsidRDefault="00B94A73">
      <w:pPr>
        <w:snapToGrid w:val="0"/>
        <w:rPr>
          <w:rFonts w:ascii="ＭＳ 明朝" w:eastAsia="ＭＳ 明朝" w:hAnsi="ＭＳ 明朝" w:cs="Arial Unicode MS"/>
          <w:szCs w:val="21"/>
        </w:rPr>
      </w:pPr>
      <w:r>
        <w:rPr>
          <w:rFonts w:ascii="ＭＳ 明朝" w:eastAsia="ＭＳ 明朝" w:hAnsi="ＭＳ 明朝" w:cs="Arial Unicode MS" w:hint="eastAsia"/>
          <w:szCs w:val="21"/>
        </w:rPr>
        <w:t xml:space="preserve">　各助産所　管理者　殿</w:t>
      </w:r>
    </w:p>
    <w:p w:rsidR="0019622D" w:rsidRDefault="00B94A73">
      <w:pPr>
        <w:snapToGrid w:val="0"/>
        <w:rPr>
          <w:rFonts w:ascii="ＭＳ 明朝" w:eastAsia="ＭＳ 明朝" w:hAnsi="ＭＳ 明朝" w:cs="Arial Unicode MS"/>
          <w:szCs w:val="21"/>
        </w:rPr>
      </w:pPr>
      <w:r>
        <w:rPr>
          <w:rFonts w:ascii="ＭＳ 明朝" w:eastAsia="ＭＳ 明朝" w:hAnsi="ＭＳ 明朝" w:cs="Arial Unicode MS" w:hint="eastAsia"/>
          <w:szCs w:val="21"/>
        </w:rPr>
        <w:t xml:space="preserve">　各薬局　管理者　殿</w:t>
      </w:r>
    </w:p>
    <w:p w:rsidR="0019622D" w:rsidRDefault="0019622D">
      <w:pPr>
        <w:ind w:firstLineChars="3200" w:firstLine="6720"/>
        <w:rPr>
          <w:rFonts w:ascii="ＭＳ 明朝" w:eastAsia="ＭＳ 明朝" w:hAnsi="ＭＳ 明朝" w:cs="Arial Unicode MS"/>
          <w:szCs w:val="21"/>
        </w:rPr>
      </w:pPr>
    </w:p>
    <w:p w:rsidR="0019622D" w:rsidRDefault="00A714B1">
      <w:pPr>
        <w:ind w:firstLineChars="3200" w:firstLine="6720"/>
      </w:pPr>
      <w:r>
        <w:rPr>
          <w:rFonts w:ascii="ＭＳ 明朝" w:eastAsia="ＭＳ 明朝" w:hAnsi="ＭＳ 明朝" w:cs="Arial Unicode MS" w:hint="eastAsia"/>
          <w:szCs w:val="21"/>
        </w:rPr>
        <w:t>日立</w:t>
      </w:r>
      <w:r w:rsidR="00B94A73">
        <w:rPr>
          <w:rFonts w:ascii="ＭＳ 明朝" w:eastAsia="ＭＳ 明朝" w:hAnsi="ＭＳ 明朝" w:cs="Arial Unicode MS" w:hint="eastAsia"/>
          <w:szCs w:val="21"/>
        </w:rPr>
        <w:t>保健所長</w:t>
      </w:r>
    </w:p>
    <w:p w:rsidR="0019622D" w:rsidRDefault="0019622D">
      <w:pPr>
        <w:ind w:firstLineChars="2600" w:firstLine="5460"/>
      </w:pPr>
    </w:p>
    <w:p w:rsidR="0019622D" w:rsidRDefault="00B94A73">
      <w:pPr>
        <w:spacing w:line="360" w:lineRule="auto"/>
        <w:jc w:val="center"/>
        <w:rPr>
          <w:sz w:val="22"/>
        </w:rPr>
      </w:pPr>
      <w:r>
        <w:rPr>
          <w:rFonts w:hint="eastAsia"/>
          <w:sz w:val="22"/>
        </w:rPr>
        <w:t>令和</w:t>
      </w:r>
      <w:r>
        <w:rPr>
          <w:rFonts w:hint="eastAsia"/>
          <w:sz w:val="22"/>
        </w:rPr>
        <w:t>5</w:t>
      </w:r>
      <w:r>
        <w:rPr>
          <w:rFonts w:hint="eastAsia"/>
          <w:sz w:val="22"/>
        </w:rPr>
        <w:t>年度医療機関・福祉施設等物価高騰対策支援事業について</w:t>
      </w:r>
    </w:p>
    <w:p w:rsidR="0019622D" w:rsidRDefault="0019622D">
      <w:pPr>
        <w:rPr>
          <w:sz w:val="22"/>
        </w:rPr>
      </w:pPr>
    </w:p>
    <w:p w:rsidR="0019622D" w:rsidRDefault="00B94A73">
      <w:pPr>
        <w:ind w:firstLineChars="200" w:firstLine="420"/>
      </w:pPr>
      <w:r>
        <w:t>日頃より県医療行政に御協力を賜り</w:t>
      </w:r>
      <w:r>
        <w:rPr>
          <w:rFonts w:hint="eastAsia"/>
        </w:rPr>
        <w:t>、</w:t>
      </w:r>
      <w:r>
        <w:t>厚く御礼申し上げます。</w:t>
      </w:r>
    </w:p>
    <w:p w:rsidR="0019622D" w:rsidRDefault="00B94A73">
      <w:pPr>
        <w:ind w:leftChars="105" w:left="220" w:firstLineChars="100" w:firstLine="210"/>
        <w:rPr>
          <w:sz w:val="22"/>
        </w:rPr>
      </w:pPr>
      <w:r>
        <w:t>さて、</w:t>
      </w:r>
      <w:r>
        <w:rPr>
          <w:rFonts w:hint="eastAsia"/>
        </w:rPr>
        <w:t>別添のとおり医療機関・福祉施設等物価高騰対策支援事業</w:t>
      </w:r>
      <w:r>
        <w:rPr>
          <w:rFonts w:hint="eastAsia"/>
          <w:sz w:val="22"/>
        </w:rPr>
        <w:t>が創設されましたので、お知らせいたします。</w:t>
      </w:r>
    </w:p>
    <w:p w:rsidR="0019622D" w:rsidRDefault="00B94A73">
      <w:pPr>
        <w:ind w:leftChars="105" w:left="220" w:firstLineChars="100" w:firstLine="220"/>
        <w:rPr>
          <w:sz w:val="22"/>
        </w:rPr>
      </w:pPr>
      <w:r>
        <w:rPr>
          <w:rFonts w:hint="eastAsia"/>
          <w:sz w:val="22"/>
        </w:rPr>
        <w:t>なお、要件を満たさない場合は対象とならない場合もございますので、必ず県ホームページをご覧いただき、申請要綱及び申請マニュアルをご一読いただいたうえで申請くださいますよう、お願いいたします。</w:t>
      </w:r>
    </w:p>
    <w:p w:rsidR="0019622D" w:rsidRDefault="00B94A73">
      <w:pPr>
        <w:ind w:leftChars="105" w:left="220" w:firstLineChars="100" w:firstLine="220"/>
        <w:rPr>
          <w:sz w:val="22"/>
        </w:rPr>
      </w:pPr>
      <w:r>
        <w:rPr>
          <w:rFonts w:hint="eastAsia"/>
          <w:sz w:val="22"/>
        </w:rPr>
        <w:t>また、令和５年８月１日より「茨城県医療機関・福祉施設等物価高騰対策支援金　相談窓口」（</w:t>
      </w:r>
      <w:r>
        <w:rPr>
          <w:rFonts w:hint="eastAsia"/>
          <w:sz w:val="22"/>
        </w:rPr>
        <w:t>T</w:t>
      </w:r>
      <w:r>
        <w:rPr>
          <w:sz w:val="22"/>
        </w:rPr>
        <w:t>EL:</w:t>
      </w:r>
      <w:r>
        <w:rPr>
          <w:rFonts w:hint="eastAsia"/>
          <w:sz w:val="22"/>
        </w:rPr>
        <w:t>0</w:t>
      </w:r>
      <w:r>
        <w:rPr>
          <w:sz w:val="22"/>
        </w:rPr>
        <w:t>29-301-2995</w:t>
      </w:r>
      <w:r>
        <w:rPr>
          <w:rFonts w:hint="eastAsia"/>
          <w:sz w:val="22"/>
        </w:rPr>
        <w:t>）を開設いたしますので、お問い合わせはこちらの相談窓口にいただきますよう、宜しくお願いいたします。</w:t>
      </w:r>
    </w:p>
    <w:p w:rsidR="0019622D" w:rsidRDefault="0019622D">
      <w:pPr>
        <w:rPr>
          <w:sz w:val="22"/>
        </w:rPr>
      </w:pPr>
    </w:p>
    <w:p w:rsidR="0019622D" w:rsidRDefault="00B94A73">
      <w:pPr>
        <w:ind w:firstLineChars="100" w:firstLine="220"/>
        <w:rPr>
          <w:sz w:val="22"/>
        </w:rPr>
      </w:pPr>
      <w:r>
        <w:rPr>
          <w:rFonts w:hint="eastAsia"/>
          <w:sz w:val="22"/>
        </w:rPr>
        <w:t>＜県ホームページ＞</w:t>
      </w:r>
    </w:p>
    <w:p w:rsidR="0019622D" w:rsidRDefault="00E7323D">
      <w:pPr>
        <w:ind w:leftChars="105" w:left="220" w:firstLineChars="100" w:firstLine="210"/>
        <w:rPr>
          <w:sz w:val="22"/>
        </w:rPr>
      </w:pPr>
      <w:hyperlink r:id="rId7" w:history="1">
        <w:r w:rsidR="00B94A73">
          <w:rPr>
            <w:rStyle w:val="a7"/>
            <w:szCs w:val="21"/>
          </w:rPr>
          <w:t>https://www.pref.ibaraki.jp/hokenfukushi/koso/iji/koso/shienkin/iryoufukushi.html</w:t>
        </w:r>
      </w:hyperlink>
    </w:p>
    <w:p w:rsidR="0019622D" w:rsidRDefault="0019622D">
      <w:pPr>
        <w:ind w:leftChars="105" w:left="220" w:firstLineChars="100" w:firstLine="220"/>
        <w:rPr>
          <w:sz w:val="22"/>
        </w:rPr>
      </w:pPr>
    </w:p>
    <w:p w:rsidR="0019622D" w:rsidRDefault="0019622D">
      <w:pPr>
        <w:ind w:leftChars="105" w:left="220" w:firstLineChars="100" w:firstLine="220"/>
        <w:rPr>
          <w:sz w:val="22"/>
        </w:rPr>
      </w:pPr>
    </w:p>
    <w:p w:rsidR="0019622D" w:rsidRDefault="00B94A73">
      <w:pPr>
        <w:numPr>
          <w:ilvl w:val="0"/>
          <w:numId w:val="1"/>
        </w:numPr>
      </w:pPr>
      <w:r>
        <w:rPr>
          <w:rFonts w:ascii="ＭＳ 明朝" w:eastAsia="ＭＳ 明朝" w:hAnsi="ＭＳ 明朝" w:cs="ＭＳ 明朝" w:hint="eastAsia"/>
          <w:sz w:val="22"/>
        </w:rPr>
        <w:t>ちらしを添付</w:t>
      </w:r>
    </w:p>
    <w:p w:rsidR="0019622D" w:rsidRDefault="0019622D">
      <w:pPr>
        <w:rPr>
          <w:sz w:val="22"/>
        </w:rPr>
      </w:pPr>
    </w:p>
    <w:p w:rsidR="0019622D" w:rsidRDefault="0019622D">
      <w:pPr>
        <w:rPr>
          <w:sz w:val="22"/>
        </w:rPr>
      </w:pPr>
    </w:p>
    <w:sectPr w:rsidR="0019622D">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23D" w:rsidRDefault="00E7323D">
      <w:r>
        <w:separator/>
      </w:r>
    </w:p>
  </w:endnote>
  <w:endnote w:type="continuationSeparator" w:id="0">
    <w:p w:rsidR="00E7323D" w:rsidRDefault="00E7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23D" w:rsidRDefault="00E7323D">
      <w:r>
        <w:separator/>
      </w:r>
    </w:p>
  </w:footnote>
  <w:footnote w:type="continuationSeparator" w:id="0">
    <w:p w:rsidR="00E7323D" w:rsidRDefault="00E73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35EA5"/>
    <w:multiLevelType w:val="hybridMultilevel"/>
    <w:tmpl w:val="DF520578"/>
    <w:lvl w:ilvl="0" w:tplc="DDC6AFCE">
      <w:start w:val="4"/>
      <w:numFmt w:val="bullet"/>
      <w:lvlText w:val="※"/>
      <w:lvlJc w:val="left"/>
      <w:pPr>
        <w:ind w:left="1895" w:hanging="360"/>
      </w:pPr>
      <w:rPr>
        <w:rFonts w:ascii="ＭＳ 明朝" w:eastAsia="ＭＳ 明朝" w:hAnsi="ＭＳ 明朝" w:cs="ＭＳ 明朝" w:hint="eastAsia"/>
        <w:sz w:val="22"/>
      </w:rPr>
    </w:lvl>
    <w:lvl w:ilvl="1" w:tplc="0409000B" w:tentative="1">
      <w:start w:val="1"/>
      <w:numFmt w:val="bullet"/>
      <w:lvlText w:val=""/>
      <w:lvlJc w:val="left"/>
      <w:pPr>
        <w:ind w:left="2375" w:hanging="420"/>
      </w:pPr>
      <w:rPr>
        <w:rFonts w:ascii="Wingdings" w:hAnsi="Wingdings" w:hint="default"/>
      </w:rPr>
    </w:lvl>
    <w:lvl w:ilvl="2" w:tplc="0409000D" w:tentative="1">
      <w:start w:val="1"/>
      <w:numFmt w:val="bullet"/>
      <w:lvlText w:val=""/>
      <w:lvlJc w:val="left"/>
      <w:pPr>
        <w:ind w:left="2795" w:hanging="420"/>
      </w:pPr>
      <w:rPr>
        <w:rFonts w:ascii="Wingdings" w:hAnsi="Wingdings" w:hint="default"/>
      </w:rPr>
    </w:lvl>
    <w:lvl w:ilvl="3" w:tplc="04090001" w:tentative="1">
      <w:start w:val="1"/>
      <w:numFmt w:val="bullet"/>
      <w:lvlText w:val=""/>
      <w:lvlJc w:val="left"/>
      <w:pPr>
        <w:ind w:left="3215" w:hanging="420"/>
      </w:pPr>
      <w:rPr>
        <w:rFonts w:ascii="Wingdings" w:hAnsi="Wingdings" w:hint="default"/>
      </w:rPr>
    </w:lvl>
    <w:lvl w:ilvl="4" w:tplc="0409000B" w:tentative="1">
      <w:start w:val="1"/>
      <w:numFmt w:val="bullet"/>
      <w:lvlText w:val=""/>
      <w:lvlJc w:val="left"/>
      <w:pPr>
        <w:ind w:left="3635" w:hanging="420"/>
      </w:pPr>
      <w:rPr>
        <w:rFonts w:ascii="Wingdings" w:hAnsi="Wingdings" w:hint="default"/>
      </w:rPr>
    </w:lvl>
    <w:lvl w:ilvl="5" w:tplc="0409000D" w:tentative="1">
      <w:start w:val="1"/>
      <w:numFmt w:val="bullet"/>
      <w:lvlText w:val=""/>
      <w:lvlJc w:val="left"/>
      <w:pPr>
        <w:ind w:left="4055" w:hanging="420"/>
      </w:pPr>
      <w:rPr>
        <w:rFonts w:ascii="Wingdings" w:hAnsi="Wingdings" w:hint="default"/>
      </w:rPr>
    </w:lvl>
    <w:lvl w:ilvl="6" w:tplc="04090001" w:tentative="1">
      <w:start w:val="1"/>
      <w:numFmt w:val="bullet"/>
      <w:lvlText w:val=""/>
      <w:lvlJc w:val="left"/>
      <w:pPr>
        <w:ind w:left="4475" w:hanging="420"/>
      </w:pPr>
      <w:rPr>
        <w:rFonts w:ascii="Wingdings" w:hAnsi="Wingdings" w:hint="default"/>
      </w:rPr>
    </w:lvl>
    <w:lvl w:ilvl="7" w:tplc="0409000B" w:tentative="1">
      <w:start w:val="1"/>
      <w:numFmt w:val="bullet"/>
      <w:lvlText w:val=""/>
      <w:lvlJc w:val="left"/>
      <w:pPr>
        <w:ind w:left="4895" w:hanging="420"/>
      </w:pPr>
      <w:rPr>
        <w:rFonts w:ascii="Wingdings" w:hAnsi="Wingdings" w:hint="default"/>
      </w:rPr>
    </w:lvl>
    <w:lvl w:ilvl="8" w:tplc="0409000D" w:tentative="1">
      <w:start w:val="1"/>
      <w:numFmt w:val="bullet"/>
      <w:lvlText w:val=""/>
      <w:lvlJc w:val="left"/>
      <w:pPr>
        <w:ind w:left="53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2D"/>
    <w:rsid w:val="000434D9"/>
    <w:rsid w:val="0019622D"/>
    <w:rsid w:val="002C3659"/>
    <w:rsid w:val="00A714B1"/>
    <w:rsid w:val="00B94A73"/>
    <w:rsid w:val="00D85E2B"/>
    <w:rsid w:val="00E7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17AA2A"/>
  <w15:chartTrackingRefBased/>
  <w15:docId w15:val="{5BD1A6B4-902E-4622-8DEE-40B0CF76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Pr>
      <w:color w:val="0563C1" w:themeColor="hyperlink"/>
      <w:u w:val="single"/>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style>
  <w:style w:type="character" w:styleId="ae">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ibaraki.jp/hokenfukushi/koso/iji/koso/shienkin/iryoufukus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2022-08-05T05:16:00Z</cp:lastPrinted>
  <dcterms:created xsi:type="dcterms:W3CDTF">2023-08-01T05:38:00Z</dcterms:created>
  <dcterms:modified xsi:type="dcterms:W3CDTF">2023-08-02T09:38:00Z</dcterms:modified>
</cp:coreProperties>
</file>